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C04DFC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</w:t>
            </w:r>
            <w:r w:rsidR="00C04DFC">
              <w:rPr>
                <w:b/>
              </w:rPr>
              <w:br/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C04DFC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______________№_____________</w:t>
            </w: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530DEE" w:rsidRDefault="00F50817" w:rsidP="00530D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BC7A29">
              <w:rPr>
                <w:b/>
                <w:sz w:val="26"/>
                <w:szCs w:val="26"/>
              </w:rPr>
              <w:t>иректор</w:t>
            </w:r>
            <w:r>
              <w:rPr>
                <w:b/>
                <w:sz w:val="26"/>
                <w:szCs w:val="26"/>
              </w:rPr>
              <w:t>у</w:t>
            </w:r>
            <w:r w:rsidR="00BC7A29">
              <w:rPr>
                <w:b/>
                <w:sz w:val="26"/>
                <w:szCs w:val="26"/>
              </w:rPr>
              <w:t xml:space="preserve"> департамента </w:t>
            </w:r>
            <w:r w:rsidR="00530DEE">
              <w:rPr>
                <w:b/>
                <w:sz w:val="26"/>
                <w:szCs w:val="26"/>
              </w:rPr>
              <w:t>методологии и организации социальных выплат</w:t>
            </w:r>
          </w:p>
          <w:p w:rsidR="00CF5406" w:rsidRDefault="00530DEE" w:rsidP="00530D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и жилищных субсидий</w:t>
            </w:r>
          </w:p>
          <w:p w:rsidR="00530DEE" w:rsidRDefault="00530DEE" w:rsidP="00530DEE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А.А.</w:t>
            </w:r>
            <w:r w:rsidR="00756421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6"/>
                <w:szCs w:val="26"/>
              </w:rPr>
              <w:t>Адонину</w:t>
            </w:r>
            <w:proofErr w:type="spellEnd"/>
          </w:p>
        </w:tc>
      </w:tr>
    </w:tbl>
    <w:p w:rsidR="003C0AC6" w:rsidRPr="00756421" w:rsidRDefault="00AF4584" w:rsidP="008B2ECF">
      <w:pPr>
        <w:autoSpaceDE w:val="0"/>
        <w:autoSpaceDN w:val="0"/>
        <w:adjustRightInd w:val="0"/>
        <w:ind w:firstLine="540"/>
        <w:jc w:val="both"/>
      </w:pPr>
      <w:r w:rsidRPr="00756421">
        <w:rPr>
          <w:b/>
        </w:rPr>
        <w:t>Правовое заключение</w:t>
      </w:r>
    </w:p>
    <w:p w:rsidR="003C0AC6" w:rsidRPr="0043369B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530DEE" w:rsidRDefault="00F50817" w:rsidP="00F50817">
      <w:pPr>
        <w:ind w:firstLine="709"/>
        <w:jc w:val="both"/>
        <w:rPr>
          <w:bCs/>
        </w:rPr>
      </w:pPr>
      <w:proofErr w:type="gramStart"/>
      <w:r w:rsidRPr="00530DEE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530DEE">
        <w:rPr>
          <w:bCs/>
        </w:rPr>
        <w:t xml:space="preserve"> </w:t>
      </w:r>
      <w:proofErr w:type="gramStart"/>
      <w:r w:rsidRPr="00530DEE">
        <w:rPr>
          <w:bCs/>
        </w:rPr>
        <w:t xml:space="preserve">Ульяновской области»  в отделе правовой экспертизы и мониторинга </w:t>
      </w:r>
      <w:proofErr w:type="spellStart"/>
      <w:r w:rsidRPr="00530DEE">
        <w:rPr>
          <w:bCs/>
        </w:rPr>
        <w:t>правоприменения</w:t>
      </w:r>
      <w:proofErr w:type="spellEnd"/>
      <w:r w:rsidRPr="00530DEE">
        <w:rPr>
          <w:bCs/>
        </w:rPr>
        <w:t xml:space="preserve">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«</w:t>
      </w:r>
      <w:r w:rsidR="00577E2A">
        <w:rPr>
          <w:bCs/>
        </w:rPr>
        <w:t xml:space="preserve">Об утверждении Порядка реализации на территории Ульяновской области полномочий Российской Федерации по </w:t>
      </w:r>
      <w:r w:rsidR="00756421">
        <w:rPr>
          <w:bCs/>
        </w:rPr>
        <w:t>предоставлению гражданам, подвергшихся воздействию радиации, отдельных мер социальной поддержки</w:t>
      </w:r>
      <w:r w:rsidR="00577E2A">
        <w:rPr>
          <w:bCs/>
        </w:rPr>
        <w:t>»</w:t>
      </w:r>
      <w:r w:rsidRPr="00530DEE">
        <w:rPr>
          <w:bCs/>
        </w:rPr>
        <w:t xml:space="preserve">. </w:t>
      </w:r>
      <w:proofErr w:type="gramEnd"/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43369B" w:rsidRPr="00756421" w:rsidRDefault="00F50817" w:rsidP="00AB1D04">
      <w:pPr>
        <w:jc w:val="both"/>
        <w:rPr>
          <w:b/>
          <w:bCs/>
        </w:rPr>
      </w:pPr>
      <w:r w:rsidRPr="00756421">
        <w:rPr>
          <w:b/>
          <w:bCs/>
        </w:rPr>
        <w:t>Д</w:t>
      </w:r>
      <w:r w:rsidR="0043369B" w:rsidRPr="00756421">
        <w:rPr>
          <w:b/>
          <w:bCs/>
        </w:rPr>
        <w:t>и</w:t>
      </w:r>
      <w:r w:rsidR="00CF5406" w:rsidRPr="00756421">
        <w:rPr>
          <w:b/>
          <w:bCs/>
        </w:rPr>
        <w:t xml:space="preserve">ректор департамента </w:t>
      </w:r>
    </w:p>
    <w:p w:rsidR="00A26DB6" w:rsidRPr="00756421" w:rsidRDefault="00A26DB6" w:rsidP="00AB1D04">
      <w:pPr>
        <w:autoSpaceDE w:val="0"/>
        <w:autoSpaceDN w:val="0"/>
        <w:adjustRightInd w:val="0"/>
        <w:jc w:val="both"/>
        <w:rPr>
          <w:b/>
        </w:rPr>
      </w:pPr>
      <w:r w:rsidRPr="00756421">
        <w:rPr>
          <w:b/>
        </w:rPr>
        <w:t>правового</w:t>
      </w:r>
      <w:r w:rsidR="00756421">
        <w:rPr>
          <w:b/>
        </w:rPr>
        <w:t>,</w:t>
      </w:r>
      <w:r w:rsidRPr="00756421">
        <w:rPr>
          <w:b/>
        </w:rPr>
        <w:t xml:space="preserve"> кадрового обеспечения</w:t>
      </w:r>
    </w:p>
    <w:p w:rsidR="00AB1D04" w:rsidRPr="00756421" w:rsidRDefault="00756421" w:rsidP="00AB1D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 </w:t>
      </w:r>
      <w:r w:rsidR="00A26DB6" w:rsidRPr="00756421">
        <w:rPr>
          <w:b/>
        </w:rPr>
        <w:t xml:space="preserve">делопроизводства                                                                 </w:t>
      </w:r>
      <w:proofErr w:type="spellStart"/>
      <w:r w:rsidR="00A26DB6" w:rsidRPr="00756421">
        <w:rPr>
          <w:b/>
        </w:rPr>
        <w:t>Е.С.Макаров</w:t>
      </w:r>
      <w:proofErr w:type="spellEnd"/>
    </w:p>
    <w:p w:rsidR="00DB5D5E" w:rsidRDefault="00DB5D5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756421" w:rsidRDefault="00C135A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</w:t>
      </w:r>
      <w:r w:rsidR="006C3E07" w:rsidRPr="00AB1D04">
        <w:rPr>
          <w:sz w:val="20"/>
          <w:szCs w:val="20"/>
        </w:rPr>
        <w:t xml:space="preserve"> </w:t>
      </w:r>
      <w:r w:rsidR="00A26DB6">
        <w:rPr>
          <w:sz w:val="20"/>
          <w:szCs w:val="20"/>
        </w:rPr>
        <w:t>С.А.</w:t>
      </w:r>
    </w:p>
    <w:p w:rsidR="00E76300" w:rsidRPr="00AB1D04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2ECF" w:rsidRPr="00AB1D04">
        <w:rPr>
          <w:sz w:val="20"/>
          <w:szCs w:val="20"/>
        </w:rPr>
        <w:t>44 95 75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6CBB"/>
    <w:rsid w:val="00167A93"/>
    <w:rsid w:val="001959F7"/>
    <w:rsid w:val="001A4151"/>
    <w:rsid w:val="00205A9A"/>
    <w:rsid w:val="0027143F"/>
    <w:rsid w:val="002C0505"/>
    <w:rsid w:val="002C5994"/>
    <w:rsid w:val="002D61C9"/>
    <w:rsid w:val="003A3AAB"/>
    <w:rsid w:val="003B2DE9"/>
    <w:rsid w:val="003C0AC6"/>
    <w:rsid w:val="003D1AAE"/>
    <w:rsid w:val="003E27F6"/>
    <w:rsid w:val="003E5828"/>
    <w:rsid w:val="0043369B"/>
    <w:rsid w:val="0044642D"/>
    <w:rsid w:val="00453C0C"/>
    <w:rsid w:val="00480B20"/>
    <w:rsid w:val="004A3E9C"/>
    <w:rsid w:val="004D64A6"/>
    <w:rsid w:val="00502C51"/>
    <w:rsid w:val="00517D58"/>
    <w:rsid w:val="00527D29"/>
    <w:rsid w:val="00530DEE"/>
    <w:rsid w:val="00570E89"/>
    <w:rsid w:val="00577E2A"/>
    <w:rsid w:val="005815FC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F5222"/>
    <w:rsid w:val="00700490"/>
    <w:rsid w:val="0072091B"/>
    <w:rsid w:val="007401D5"/>
    <w:rsid w:val="00756421"/>
    <w:rsid w:val="00771D31"/>
    <w:rsid w:val="00781596"/>
    <w:rsid w:val="007944D9"/>
    <w:rsid w:val="007D0B4F"/>
    <w:rsid w:val="007F1265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83AE2"/>
    <w:rsid w:val="00BB3643"/>
    <w:rsid w:val="00BB6F30"/>
    <w:rsid w:val="00BC7A29"/>
    <w:rsid w:val="00BE6B7B"/>
    <w:rsid w:val="00C04DFC"/>
    <w:rsid w:val="00C12C14"/>
    <w:rsid w:val="00C135A3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49D5"/>
    <w:rsid w:val="00E250FD"/>
    <w:rsid w:val="00E2694E"/>
    <w:rsid w:val="00E30ED5"/>
    <w:rsid w:val="00E529E6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50817"/>
    <w:rsid w:val="00F768DF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6DA7-59F2-42D4-B201-6FFEFC23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14</cp:revision>
  <cp:lastPrinted>2014-06-09T08:32:00Z</cp:lastPrinted>
  <dcterms:created xsi:type="dcterms:W3CDTF">2014-03-12T08:46:00Z</dcterms:created>
  <dcterms:modified xsi:type="dcterms:W3CDTF">2015-01-15T07:02:00Z</dcterms:modified>
</cp:coreProperties>
</file>